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C27" w:rsidRDefault="00591C27" w:rsidP="00591C2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518" w:rsidRPr="00421518" w:rsidRDefault="00421518" w:rsidP="00421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15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предоставления субсидии муниципальным образованиям</w:t>
      </w:r>
    </w:p>
    <w:p w:rsidR="00421518" w:rsidRPr="00421518" w:rsidRDefault="00421518" w:rsidP="00421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15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автономного округа на предоставление государственных услуг</w:t>
      </w:r>
    </w:p>
    <w:p w:rsidR="00421518" w:rsidRPr="00421518" w:rsidRDefault="00421518" w:rsidP="00421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15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многофункциональных центрах предоставления государственных</w:t>
      </w:r>
    </w:p>
    <w:p w:rsidR="00421518" w:rsidRPr="00421518" w:rsidRDefault="00421518" w:rsidP="004215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15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муниципальных услуг (далее - Порядок) </w:t>
      </w:r>
    </w:p>
    <w:p w:rsidR="00421518" w:rsidRPr="00421518" w:rsidRDefault="00421518" w:rsidP="004215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91C27" w:rsidRDefault="00421518" w:rsidP="004215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B70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(утвержден постановлением Правительства Ханты-Мансийского автономного округа – Югры от 05.10.2018 № 336-п «О государственной программе Ханты-Мансийского автономного округа – Югры «Развитие экономического потенциала»)</w:t>
      </w:r>
    </w:p>
    <w:p w:rsidR="00D952F7" w:rsidRPr="00591C27" w:rsidRDefault="00D952F7" w:rsidP="0042151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</w:p>
    <w:p w:rsidR="00591C27" w:rsidRPr="00591C27" w:rsidRDefault="00591C27" w:rsidP="00DD63E2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bookmarkStart w:id="0" w:name="p2451"/>
      <w:bookmarkEnd w:id="0"/>
      <w:r w:rsidR="00DD63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Порядок устанавливает правила предоставления субсидии из бюджета Ханты-Мансийского автономного округа - Югры бюджетам муницип</w:t>
      </w:r>
      <w:bookmarkStart w:id="1" w:name="_GoBack"/>
      <w:bookmarkEnd w:id="1"/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альных образований Ханты-Мансийского автономного округа - Югры (далее - муниципальное образование, автономный округ) на софинансирование расходных обязательств по предоставлению государственных услуг федеральных органов исполнительной власти, органов государственных внебюджетных фондов, исполнительных органов государственной власти автономного округа (далее - государственные услуги), услуг информирования и консультирования заявителей о порядке предоставления государственных услуг в многофункциональных центрах предоставления государственных и муниципальных услуг и его территориально обособленных структурных подразделениях (далее - МФЦ), о ходе выполнения запросов об их предоставлении, а также по иным вопросам, связанным с их предоставлением (далее в Порядке - субсидия, услуги информирования и консультирования).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2. Субсидия предоставляется бюджету муниципального образования в соответствии со сводной бюджетной росписью бюджета автономного округа в пределах бюджетных ассигнований и лимитов бюджетных обязательств.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Размер субсидии, предоставляемой бюджету муниципального образования, определяется в соответствии с методикой расчета субсидии, установленной </w:t>
      </w:r>
      <w:hyperlink w:anchor="p2485" w:history="1">
        <w:r w:rsidRPr="00591C2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пунктами 21</w:t>
        </w:r>
      </w:hyperlink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hyperlink w:anchor="p2497" w:history="1">
        <w:r w:rsidRPr="00591C2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24</w:t>
        </w:r>
      </w:hyperlink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Порядка.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bookmarkStart w:id="2" w:name="p2454"/>
      <w:bookmarkEnd w:id="2"/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4. Субсидия предоставляется при соблюдении следующих условий: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в бюджете муниципального образования бюджетных ассигнований на исполнение расходного обязательства муниципального образования по финансированию МФЦ, учредителем которого является муниципальное образование;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заключенных договоров о взаимодействии при предоставлении государственных услуг с МФЦ, уполномоченным на заключение соглашений о взаимодействии с федеральными органами исполнительной власти, органами государственных внебюджетных фондов, соглашений о взаимодействии при предоставлении государственных услуг с исполнительными органами государственной власти автономного округа;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софинансирования из бюджета муниципального образования предоставленных в МФЦ государственных услуг, услуг информирования и консультирования.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bookmarkStart w:id="3" w:name="p2458"/>
      <w:bookmarkEnd w:id="3"/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5. Для получения субсидии муниципальное образование представляет в Департамент экономического развития автономного округа (далее - Депэкономики Югры):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заявку на получение субсидии (далее - заявка);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подтверждающий наличие в бюджете муниципального образования автономного округа бюджетных ассигнований на обеспечение софинансирования предоставления в МФЦ государственных услуг;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заключенных договоров о взаимодействии между МФЦ и МФЦ, уполномоченным на заключение соглашений о взаимодействии с федеральными органами исполнительной власти, органами государственных внебюджетных фондов о предоставлении государственных услуг, соглашений о взаимодействии при </w:t>
      </w: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предоставлении государственных услуг с исполнительными органами государственной власти автономного округа;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утвержденное плановое задание по предоставлению государственных услуг, а также услуг информирования и консультирования на текущий год отдельно по каждому МФЦ с ежемесячной разбивкой (далее - плановое задание);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копию проекта муниципального задания (бюджетной сметы) по предоставлению государственных и муниципальных услуг и услуг информирования и консультирования на очередной год отдельно по каждому МФЦ, с последующим предоставлением копии утвержденного муниципального задания (бюджетной сметы) в течение трех дней после его (ее) принятия в установленном порядке.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6. Заявку и документ, подтверждающий наличие в бюджете муниципального образования бюджетных ассигнований на обеспечение софинансирования предоставления государственных услуг, подписывает глава администрации муниципального образования (глава муниципального образования) или его заместитель.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заявки и планового задания утверждаются приказом Депэкономики Югры.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Заявку и прилагаемые к ней документы представляет муниципальное образование в сброшюрованном и опечатанном виде в Депэкономики Югры в срок до 15 ноября года, предшествующего году предоставления субсидии.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7. Решение о предоставлении субсидии или отказе в ее предоставлении, а также о ее объеме принимает Депэкономики Югры в срок до 10 декабря года, предшествующего году предоставления субсидии, и оформляет своим приказом.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8. Основаниями для отказа в предоставлении субсидии являются: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несоблюдение условий, предусмотренных </w:t>
      </w:r>
      <w:hyperlink w:anchor="p2454" w:history="1">
        <w:r w:rsidRPr="00591C2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пунктом 4</w:t>
        </w:r>
      </w:hyperlink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Порядка;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непредставление документов, указанных в </w:t>
      </w:r>
      <w:hyperlink w:anchor="p2458" w:history="1">
        <w:r w:rsidRPr="00591C2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пункте 5</w:t>
        </w:r>
      </w:hyperlink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Порядка;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документов, содержащих неполные или недостоверные сведения.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9. Объем субсидии рассчитывается исходя из представленного муниципальным образованием планового задания на текущий год, с ежемесячной разбивкой.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10. Субсидии предоставляются муниципальным образованиям при наличии подписанного сторонами Соглашения.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11. Субсидию перечисляет Депэкономики Югры, а в случае принятия им решения о передаче этого полномочия - Департамент финансов автономного округа в соответствии с законодательством Российской Федерации и автономного округа на счета, открытые территориальным органом Федерального казначейства в учреждении Центрального банка Российской Федерации для учета операций со средствами бюджетов муниципальных образований автономного округа, в пределах суммы, необходимой для оплаты денежных обязательств по расходам получателей средств местного бюджета.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12. Перечисление субсидии осуществляется в порядке, установленном Департаментом финансов автономного округа, после представления муниципальными образованиями в адрес Депэкономики Югры одновременно заявки на кассовый расход (платежное поручение) и реестра заявок (платежных поручений) под фактическую потребность по установленным формам, или в адрес Департамента финансов автономного округа в случае передачи последнему полномочия по перечислению субсидии.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13. Муниципальные образования несут ответственность за соблюдение положений Порядка, осуществление расходов, источником финансового обеспечения которых являются субсидии, в том числе за их целевое использование, а также достоверность представляемых сведений.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14. Орган местного самоуправления муниципального образования представляет в Депэкономики Югры годовой отчет о целевом использовании субсидии в соответствии с заключенным соглашением в срок до 20 января года, следующего за отчетным годом.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отчета утверждается приказом Депэкономики Югры.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15. Оценку эффективности использования субсидии муниципальным образованием осуществляет Депэкономики Югры по итогам годового отчета обеспечение достижения показателей результативности предоставления субсидии.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16. Контроль осуществления расходов бюджетов муниципальных образований, источником финансового обеспечения которых является субсидия, осуществляет Депэкономики Югры.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В случае недостижения значений показателей результативности предоставления субсидии, определенных соглашением, а также выявления нецелевого использования субсидии, выразившегося в направлении и использовании ее на цели, не соответствующие условиям, предусмотренным </w:t>
      </w:r>
      <w:hyperlink w:anchor="p2451" w:history="1">
        <w:r w:rsidRPr="00591C2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пунктами 1</w:t>
        </w:r>
      </w:hyperlink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w:anchor="p2454" w:history="1">
        <w:r w:rsidRPr="00591C2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</w:t>
        </w:r>
      </w:hyperlink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Порядка, она подлежит возврату в бюджет автономного округа.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bookmarkStart w:id="4" w:name="p2482"/>
      <w:bookmarkEnd w:id="4"/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18. При выявлении нецелевого использования субсидии Депэкономики Югры в течение 5 рабочих дней с даты выявления принимает решение о ее возврате муниципальным образованием и в течение 10 рабочих дней со дня принятия такого решения направляет муниципальному образованию соответствующее требование.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 Муниципальное образование обязано в течение 30 календарных дней с даты получения требования, указанного в </w:t>
      </w:r>
      <w:hyperlink w:anchor="p2482" w:history="1">
        <w:r w:rsidRPr="00591C2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пункте 18</w:t>
        </w:r>
      </w:hyperlink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Порядка, перечислить указанную в нем сумму субсидии в бюджет автономного округа.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 В случае невыполнения требования, указанного в </w:t>
      </w:r>
      <w:hyperlink w:anchor="p2482" w:history="1">
        <w:r w:rsidRPr="00591C2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пункте 18</w:t>
        </w:r>
      </w:hyperlink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Порядка, взыскание средств субсидии осуществляется в судебном порядке в соответствии с законодательством Российской Федерации.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bookmarkStart w:id="5" w:name="p2485"/>
      <w:bookmarkEnd w:id="5"/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21. Расчет размера субсидии бюджету муниципального образования автономного округа на предоставление государственных услуг и услуг информирования и консультирования в МФЦ определяется по формуле:</w:t>
      </w:r>
    </w:p>
    <w:p w:rsidR="00591C27" w:rsidRPr="00591C27" w:rsidRDefault="00591C27" w:rsidP="00591C27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Si = (Fi x Qf + Ufi x Qu) x K, где:</w:t>
      </w:r>
    </w:p>
    <w:p w:rsidR="00591C27" w:rsidRPr="00591C27" w:rsidRDefault="00591C27" w:rsidP="00591C27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Si - объем субсидии;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Fi - объем государственных услуг, предусмотренных плановым заданием;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K - коэффициент софинансирования расходных обязательств;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Ufi - объем услуг информирования и консультирования, предусмотренных плановым заданием;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Qf - стоимость одной государственной услуги, предоставляемой в МФЦ;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Qu - стоимость одной государственной услуги информирования и консультирования, предоставляемой в МФЦ.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22. Стоимость 1 государственной услуги, предоставляемой в МФЦ, составляет 772 рубля.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23. Стоимость 1 услуги информирования и консультирования, предоставляемой в МФЦ, составляет 178 рублей.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bookmarkStart w:id="6" w:name="p2497"/>
      <w:bookmarkEnd w:id="6"/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24. Коэффициент софинансирования расходных обязательств муниципальных образований по предоставлению в МФЦ государственных услуг, услуг информирования и консультирования на очередной финансовый год (K</w:t>
      </w:r>
      <w:r w:rsidRPr="00591C27">
        <w:rPr>
          <w:rFonts w:ascii="Times New Roman" w:eastAsia="Times New Roman" w:hAnsi="Times New Roman" w:cs="Times New Roman"/>
          <w:sz w:val="16"/>
          <w:szCs w:val="16"/>
          <w:vertAlign w:val="subscript"/>
          <w:lang w:eastAsia="ru-RU"/>
        </w:rPr>
        <w:t>i</w:t>
      </w: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определяется Депэкономики Югры, исходя из уровня расчетной бюджетной обеспеченности на текущий финансовый год, определенного Департаментом финансов автономного округа в соответствии с </w:t>
      </w:r>
      <w:hyperlink r:id="rId6" w:history="1">
        <w:r w:rsidRPr="00591C2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методикой</w:t>
        </w:r>
      </w:hyperlink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распределения дотаций на выравнивание бюджетной обеспеченности, утвержденной Законом автономного округа от 10 ноября 2008 года N 132-оз "О межбюджетных отношениях в Ханты-Мансийском автономном округе - Югре".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Предельный коэффициент софинансирования расходных обязательств муниципальных образований за счет предоставляемой субсидии на очередной финансовый год определяется по формуле:</w:t>
      </w:r>
    </w:p>
    <w:p w:rsidR="00591C27" w:rsidRPr="00591C27" w:rsidRDefault="00591C27" w:rsidP="00591C27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91C27" w:rsidRPr="00591C27" w:rsidRDefault="00591C27" w:rsidP="00591C27">
      <w:pPr>
        <w:pStyle w:val="ConsPlusNormal"/>
        <w:jc w:val="center"/>
      </w:pPr>
      <w:r w:rsidRPr="00591C27">
        <w:rPr>
          <w:noProof/>
          <w:position w:val="-39"/>
        </w:rPr>
        <w:lastRenderedPageBreak/>
        <w:drawing>
          <wp:inline distT="0" distB="0" distL="0" distR="0" wp14:anchorId="51BEDC21" wp14:editId="220FC6AA">
            <wp:extent cx="3021330" cy="64389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133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27" w:rsidRPr="00591C27" w:rsidRDefault="00591C27" w:rsidP="00591C27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ранг РБО</w:t>
      </w:r>
      <w:r w:rsidRPr="00591C27">
        <w:rPr>
          <w:rFonts w:ascii="Times New Roman" w:eastAsia="Times New Roman" w:hAnsi="Times New Roman" w:cs="Times New Roman"/>
          <w:sz w:val="16"/>
          <w:szCs w:val="16"/>
          <w:vertAlign w:val="subscript"/>
          <w:lang w:eastAsia="ru-RU"/>
        </w:rPr>
        <w:t>i</w:t>
      </w: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место i-го муниципального образования по уровню расчетной бюджетной обеспеченности на текущий финансовый год;</w:t>
      </w:r>
    </w:p>
    <w:p w:rsidR="00591C27" w:rsidRPr="00591C27" w:rsidRDefault="00591C27" w:rsidP="00591C27">
      <w:pPr>
        <w:spacing w:after="0" w:line="240" w:lineRule="auto"/>
        <w:ind w:firstLine="540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52453815" wp14:editId="44854CAE">
                <wp:extent cx="302260" cy="302260"/>
                <wp:effectExtent l="0" t="0" r="0" b="0"/>
                <wp:docPr id="3" name="AutoShape 6" descr="Рисунок 3276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C2497EB" id="AutoShape 6" o:spid="_x0000_s1026" alt="Рисунок 32769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" filled="f" stroked="f">
                <o:lock v:ext="edit" aspectratio="t"/>
                <w10:anchorlock/>
              </v:rect>
            </w:pict>
          </mc:Fallback>
        </mc:AlternateContent>
      </w: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муниципальных образований.</w:t>
      </w:r>
    </w:p>
    <w:p w:rsidR="00591C27" w:rsidRPr="00591C27" w:rsidRDefault="00591C27" w:rsidP="00591C27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91C27" w:rsidRPr="00591C27" w:rsidRDefault="00591C27" w:rsidP="00591C27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91C27" w:rsidRPr="00591C27" w:rsidRDefault="00591C27" w:rsidP="00591C27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91C27" w:rsidRPr="00591C27" w:rsidRDefault="00591C27" w:rsidP="00591C27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591C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1474E" w:rsidRDefault="0041474E"/>
    <w:sectPr w:rsidR="0041474E" w:rsidSect="00794A5C">
      <w:headerReference w:type="default" r:id="rId8"/>
      <w:pgSz w:w="11906" w:h="16838"/>
      <w:pgMar w:top="1134" w:right="850" w:bottom="1134" w:left="1701" w:header="708" w:footer="708" w:gutter="0"/>
      <w:pgNumType w:start="268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A5C" w:rsidRDefault="00794A5C" w:rsidP="00794A5C">
      <w:pPr>
        <w:spacing w:after="0" w:line="240" w:lineRule="auto"/>
      </w:pPr>
      <w:r>
        <w:separator/>
      </w:r>
    </w:p>
  </w:endnote>
  <w:endnote w:type="continuationSeparator" w:id="0">
    <w:p w:rsidR="00794A5C" w:rsidRDefault="00794A5C" w:rsidP="00794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A5C" w:rsidRDefault="00794A5C" w:rsidP="00794A5C">
      <w:pPr>
        <w:spacing w:after="0" w:line="240" w:lineRule="auto"/>
      </w:pPr>
      <w:r>
        <w:separator/>
      </w:r>
    </w:p>
  </w:footnote>
  <w:footnote w:type="continuationSeparator" w:id="0">
    <w:p w:rsidR="00794A5C" w:rsidRDefault="00794A5C" w:rsidP="00794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9181196"/>
      <w:docPartObj>
        <w:docPartGallery w:val="Page Numbers (Top of Page)"/>
        <w:docPartUnique/>
      </w:docPartObj>
    </w:sdtPr>
    <w:sdtContent>
      <w:p w:rsidR="00794A5C" w:rsidRDefault="00794A5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2690</w:t>
        </w:r>
        <w:r>
          <w:fldChar w:fldCharType="end"/>
        </w:r>
      </w:p>
    </w:sdtContent>
  </w:sdt>
  <w:p w:rsidR="00794A5C" w:rsidRDefault="00794A5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C27"/>
    <w:rsid w:val="001E0A1C"/>
    <w:rsid w:val="00294A19"/>
    <w:rsid w:val="003100E2"/>
    <w:rsid w:val="003B70D0"/>
    <w:rsid w:val="0041474E"/>
    <w:rsid w:val="00421518"/>
    <w:rsid w:val="00591C27"/>
    <w:rsid w:val="00794A5C"/>
    <w:rsid w:val="007C2D1A"/>
    <w:rsid w:val="00A903A2"/>
    <w:rsid w:val="00AC0445"/>
    <w:rsid w:val="00D952F7"/>
    <w:rsid w:val="00DD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D0FF44-F169-4FD4-ABFE-BE552C0A8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1C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91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1C2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94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4A5C"/>
  </w:style>
  <w:style w:type="paragraph" w:styleId="a7">
    <w:name w:val="footer"/>
    <w:basedOn w:val="a"/>
    <w:link w:val="a8"/>
    <w:uiPriority w:val="99"/>
    <w:unhideWhenUsed/>
    <w:rsid w:val="00794A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4A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2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69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1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19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20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nd=70DC6B431B0C8E6490B5E62A429A8165&amp;req=doc&amp;base=RLAW926&amp;n=182494&amp;dst=680&amp;fld=134&amp;REFFIELD=134&amp;REFDST=104964&amp;REFDOC=194190&amp;REFBASE=RLAW926&amp;stat=refcode%3D16876%3Bdstident%3D680%3Bindex%3D2497&amp;date=14.08.2019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1552</Words>
  <Characters>8849</Characters>
  <Application>Microsoft Office Word</Application>
  <DocSecurity>0</DocSecurity>
  <Lines>73</Lines>
  <Paragraphs>20</Paragraphs>
  <ScaleCrop>false</ScaleCrop>
  <Company/>
  <LinksUpToDate>false</LinksUpToDate>
  <CharactersWithSpaces>10381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Воробьева Наталья Викторовна</dc:creator>
  <cp:lastModifiedBy>Фрей Валентина Александровна</cp:lastModifiedBy>
  <cp:revision>13</cp:revision>
  <dcterms:created xsi:type="dcterms:W3CDTF">2019-08-14T07:27:00Z</dcterms:created>
  <dcterms:modified xsi:type="dcterms:W3CDTF">2019-10-18T14:18:00Z</dcterms:modified>
</cp:coreProperties>
</file>